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70" w:rsidRDefault="00A64670" w:rsidP="00A64670">
      <w:pPr>
        <w:pStyle w:val="caption1"/>
      </w:pPr>
      <w:r>
        <w:t>ЛЕКЦИЯ 10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caption1"/>
      </w:pPr>
      <w:r>
        <w:t>10. Компоновки складских подсистем ГАП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main"/>
      </w:pPr>
      <w:r>
        <w:t>Размещение складов в ГПС зависит от типа и характера производства, величины производственной программы, типа внутрицехового и внутрисистемного транспорта, строительной части производственного корпуса, в котором размещается ГПС, и других факторов.</w:t>
      </w:r>
    </w:p>
    <w:p w:rsidR="00A64670" w:rsidRDefault="00A64670" w:rsidP="00A64670">
      <w:pPr>
        <w:pStyle w:val="main"/>
      </w:pPr>
      <w:r>
        <w:t>Всего возможно свыше 20 компоновочных схем расположения автоматических складов в ГАП, отличающихся числом складов, их технической оснащенностью, типом и конструкцией транспортных устройств, взаимным расположением автоматических складов и РТК.</w:t>
      </w:r>
    </w:p>
    <w:p w:rsidR="00A64670" w:rsidRDefault="00A64670" w:rsidP="00A64670">
      <w:pPr>
        <w:pStyle w:val="main"/>
      </w:pPr>
      <w:r>
        <w:t>Компоновки автоматических складов с учетом транспортных подсистем и производственных комплексов ГПС можно подразделить:</w:t>
      </w:r>
    </w:p>
    <w:p w:rsidR="00A64670" w:rsidRDefault="00A64670" w:rsidP="00A64670">
      <w:pPr>
        <w:pStyle w:val="main"/>
      </w:pPr>
      <w:proofErr w:type="gramStart"/>
      <w:r>
        <w:t>1) по количеству складов: с одним, двумя, тремя складами (склад полуфабрикатов, готовых изделий, оснастки и инструмента) и четырьмя складами (склад полуфабрикатов, готовых изделий, инструмента и оснастки, отходов производства) и т.д.</w:t>
      </w:r>
      <w:proofErr w:type="gramEnd"/>
    </w:p>
    <w:p w:rsidR="00A64670" w:rsidRDefault="00A64670" w:rsidP="00A64670">
      <w:pPr>
        <w:pStyle w:val="main"/>
      </w:pPr>
      <w:r>
        <w:t xml:space="preserve">2) по выполняемым функциям штабелирующей машины: склады, где </w:t>
      </w:r>
      <w:proofErr w:type="spellStart"/>
      <w:r>
        <w:t>штабелер</w:t>
      </w:r>
      <w:proofErr w:type="spellEnd"/>
      <w:r>
        <w:t xml:space="preserve"> обслуживает только секции хранилища; </w:t>
      </w:r>
      <w:proofErr w:type="gramStart"/>
      <w:r>
        <w:t>склады</w:t>
      </w:r>
      <w:proofErr w:type="gramEnd"/>
      <w:r>
        <w:t xml:space="preserve"> где </w:t>
      </w:r>
      <w:proofErr w:type="spellStart"/>
      <w:r>
        <w:t>штабелер</w:t>
      </w:r>
      <w:proofErr w:type="spellEnd"/>
      <w:r>
        <w:t xml:space="preserve"> обслуживает стеллажи хранилища и осуществляет транспортировку грузов внутри ГПС (подачу полуфабрикатов к производственному оборудованию, готовых деталей на склад с производственного участка и т.д.);</w:t>
      </w:r>
    </w:p>
    <w:p w:rsidR="00A64670" w:rsidRDefault="00A64670" w:rsidP="00A64670">
      <w:pPr>
        <w:pStyle w:val="main"/>
      </w:pPr>
      <w:r>
        <w:t>3) по транспортным связям складов и производственных участков: с непрерывным транспортом (напольным или подвесным); с дискретным транспортом (тележками рельсовыми и безрельсовыми, каретками-операторами);</w:t>
      </w:r>
    </w:p>
    <w:p w:rsidR="00A64670" w:rsidRDefault="00A64670" w:rsidP="00A64670">
      <w:pPr>
        <w:pStyle w:val="main"/>
      </w:pPr>
      <w:r>
        <w:t>4) по расположению их по отношению к производственным участкам: линейное расположение - стеллажи склада размещены в одну линию с рядом станков участка; поперечное - стеллажи склада установлены перпендикулярно к рядам станков; параллельное - стеллажи расположены параллельно рядам производственных комплексов.</w:t>
      </w:r>
    </w:p>
    <w:p w:rsidR="00A64670" w:rsidRDefault="00A64670" w:rsidP="00A64670">
      <w:pPr>
        <w:pStyle w:val="main"/>
      </w:pPr>
      <w:r>
        <w:t>Наиболее существенной характеристикой общей компоновки склада является расположение участков приема и выдачи грузов по отношению к зоне основного хранения. По этому признаку возможны следующие общие компоновки складов:</w:t>
      </w:r>
    </w:p>
    <w:p w:rsidR="00A64670" w:rsidRDefault="00A64670" w:rsidP="00A64670">
      <w:pPr>
        <w:pStyle w:val="list2"/>
        <w:numPr>
          <w:ilvl w:val="0"/>
          <w:numId w:val="1"/>
        </w:numPr>
        <w:ind w:firstLine="400"/>
      </w:pPr>
      <w:proofErr w:type="gramStart"/>
      <w:r>
        <w:t>- односторонние (тупиковые), в которых участки прибытия и выдачи грузов расположены с одной и той же стороны хранилища (рис. 10.1)</w:t>
      </w:r>
      <w:proofErr w:type="gramEnd"/>
    </w:p>
    <w:p w:rsidR="00A64670" w:rsidRDefault="00A64670" w:rsidP="00A64670">
      <w:pPr>
        <w:pStyle w:val="image"/>
        <w:ind w:left="720"/>
      </w:pPr>
      <w:r>
        <w:rPr>
          <w:noProof/>
        </w:rPr>
        <w:drawing>
          <wp:inline distT="0" distB="0" distL="0" distR="0">
            <wp:extent cx="4657725" cy="1400175"/>
            <wp:effectExtent l="19050" t="0" r="9525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image"/>
        <w:ind w:left="720"/>
      </w:pPr>
      <w:r>
        <w:t>Рис. 10.1. Односторонняя компоновка склада.</w:t>
      </w:r>
    </w:p>
    <w:p w:rsidR="00A64670" w:rsidRDefault="00A64670" w:rsidP="00A64670">
      <w:pPr>
        <w:pStyle w:val="a3"/>
        <w:ind w:left="720"/>
      </w:pPr>
      <w:r>
        <w:lastRenderedPageBreak/>
        <w:t> </w:t>
      </w:r>
    </w:p>
    <w:p w:rsidR="00A64670" w:rsidRDefault="00A64670" w:rsidP="00A64670">
      <w:pPr>
        <w:pStyle w:val="list2"/>
        <w:numPr>
          <w:ilvl w:val="0"/>
          <w:numId w:val="1"/>
        </w:numPr>
        <w:ind w:firstLine="400"/>
      </w:pPr>
      <w:r>
        <w:t>- двухсторонние продольные (проходные), в которых грузы поступают в зону хранения с одного конца, а выдают их с другой стороны ее (рис. 10.2).</w:t>
      </w:r>
    </w:p>
    <w:p w:rsidR="00A64670" w:rsidRDefault="00A64670" w:rsidP="00A64670">
      <w:pPr>
        <w:pStyle w:val="image"/>
        <w:ind w:left="720"/>
      </w:pPr>
      <w:r>
        <w:rPr>
          <w:noProof/>
        </w:rPr>
        <w:drawing>
          <wp:inline distT="0" distB="0" distL="0" distR="0">
            <wp:extent cx="3429000" cy="1076325"/>
            <wp:effectExtent l="0" t="0" r="0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image"/>
        <w:ind w:left="720"/>
      </w:pPr>
      <w:r>
        <w:t>Рис. 10.2. Двухсторонняя продольная компоновка склада</w:t>
      </w:r>
    </w:p>
    <w:p w:rsidR="00A64670" w:rsidRDefault="00A64670" w:rsidP="00A64670">
      <w:pPr>
        <w:pStyle w:val="a3"/>
        <w:ind w:left="720"/>
      </w:pPr>
      <w:r>
        <w:t> </w:t>
      </w:r>
    </w:p>
    <w:p w:rsidR="00A64670" w:rsidRDefault="00A64670" w:rsidP="00A64670">
      <w:pPr>
        <w:pStyle w:val="list2"/>
        <w:numPr>
          <w:ilvl w:val="0"/>
          <w:numId w:val="1"/>
        </w:numPr>
        <w:ind w:firstLine="400"/>
      </w:pPr>
      <w:r>
        <w:t>- двухсторонние поперечные здесь грузы прибывают с торца хранилища, а выдают их на боковую сторону или в обратном направлении (рис. 10.3)</w:t>
      </w:r>
    </w:p>
    <w:p w:rsidR="00A64670" w:rsidRDefault="00A64670" w:rsidP="00A64670">
      <w:pPr>
        <w:pStyle w:val="image"/>
      </w:pPr>
      <w:r>
        <w:rPr>
          <w:noProof/>
        </w:rPr>
        <w:drawing>
          <wp:inline distT="0" distB="0" distL="0" distR="0">
            <wp:extent cx="4924425" cy="990600"/>
            <wp:effectExtent l="19050" t="0" r="9525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image"/>
      </w:pPr>
      <w:r>
        <w:t>Рис. 10.3. Двухсторонние поперечные компоновки склада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main"/>
      </w:pPr>
      <w:proofErr w:type="gramStart"/>
      <w:r>
        <w:t>Простейшая компоновка, наиболее применяемая для небольших ГПС (рис.10.4), включает в себя находящийся в центре складской робот, с одной стороны от которого установлен один складской стеллаж, а с другой - производственный участок ГПС.</w:t>
      </w:r>
      <w:proofErr w:type="gramEnd"/>
    </w:p>
    <w:p w:rsidR="00A64670" w:rsidRDefault="00A64670" w:rsidP="00A64670">
      <w:pPr>
        <w:pStyle w:val="main"/>
      </w:pPr>
      <w:r>
        <w:t xml:space="preserve">Подачу заготовок и инструмента, выдачу готовых изделий из ГПС производят по конвейеру-накопителю 3, </w:t>
      </w:r>
      <w:proofErr w:type="gramStart"/>
      <w:r>
        <w:t>варианты</w:t>
      </w:r>
      <w:proofErr w:type="gramEnd"/>
      <w:r>
        <w:t xml:space="preserve"> установки которого показаны на рис. 10.4.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image"/>
      </w:pPr>
      <w:r>
        <w:rPr>
          <w:noProof/>
        </w:rPr>
        <w:drawing>
          <wp:inline distT="0" distB="0" distL="0" distR="0">
            <wp:extent cx="3781425" cy="895350"/>
            <wp:effectExtent l="0" t="0" r="9525" b="0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imagediscription"/>
      </w:pPr>
      <w:r>
        <w:t xml:space="preserve">1 - автоматический стеллажный </w:t>
      </w:r>
      <w:proofErr w:type="spellStart"/>
      <w:r>
        <w:t>кран-штабелер</w:t>
      </w:r>
      <w:proofErr w:type="spellEnd"/>
      <w:r>
        <w:t>; 2 – стеллаж; 3 – конвейер приема и выдачи; 4 – перегрузочное устройство; 5 – робот.</w:t>
      </w:r>
    </w:p>
    <w:p w:rsidR="00A64670" w:rsidRDefault="00A64670" w:rsidP="00A64670">
      <w:pPr>
        <w:pStyle w:val="image"/>
      </w:pPr>
      <w:r>
        <w:t>Рис. 10.4. Типовая планировка транспортно-складской системы ГПС: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main"/>
      </w:pPr>
      <w:r>
        <w:t>Недостатками этой компоновки являются большая длина ГПС при небольшой ширине и незначительная производительность при большом числе станков и малом времени обработки деталей.</w:t>
      </w:r>
    </w:p>
    <w:p w:rsidR="00A64670" w:rsidRDefault="00A64670" w:rsidP="00A64670">
      <w:pPr>
        <w:pStyle w:val="main"/>
      </w:pPr>
      <w:r>
        <w:t xml:space="preserve">Аналогичная центральная компоновка автоматического склада ГПС с двумя стеллажами показана на рис.10.5. Такая компоновка рациональна, так как склад максимально приближен к технологическому оборудованию и транспортные связи в ГПС наиболее просты. В этом случае </w:t>
      </w:r>
      <w:proofErr w:type="spellStart"/>
      <w:r>
        <w:t>кран-штабелер</w:t>
      </w:r>
      <w:proofErr w:type="spellEnd"/>
      <w:r>
        <w:t xml:space="preserve"> (транспортно-складской робот) выполняет не только функции складирования, но и распределяет по производственным комплексам материалы, инструмент, заготовки, а также забирает от них готовые изделия. Транспортные связи внутри </w:t>
      </w:r>
      <w:r>
        <w:lastRenderedPageBreak/>
        <w:t>ГПС сведены к минимуму за счет того, что производственные комплексы расположены рядом с устройством приема и выдачи груза из автоматического склада. В результате такой компоновки появляется возможность полностью отказаться от внутрисистемного транспорта и грузы выдавать со склада непосредственно на производственные участки.</w:t>
      </w:r>
    </w:p>
    <w:p w:rsidR="00A64670" w:rsidRDefault="00A64670" w:rsidP="00A64670">
      <w:pPr>
        <w:pStyle w:val="image"/>
      </w:pPr>
      <w:r>
        <w:rPr>
          <w:noProof/>
        </w:rPr>
        <w:drawing>
          <wp:inline distT="0" distB="0" distL="0" distR="0">
            <wp:extent cx="4057650" cy="1238250"/>
            <wp:effectExtent l="19050" t="0" r="0" b="0"/>
            <wp:docPr id="5" name="Рисунок 5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imagediscription"/>
      </w:pPr>
      <w:r>
        <w:t xml:space="preserve">1 – производственный участок; 2 – перегрузочное устройство; 3 – участок входного контроля; 4 – автоматический </w:t>
      </w:r>
      <w:proofErr w:type="spellStart"/>
      <w:r>
        <w:t>кран-штабелер</w:t>
      </w:r>
      <w:proofErr w:type="spellEnd"/>
      <w:r>
        <w:t>; 5 – объединенный склад; 6 – поступление заготовок, инструмента, пустой тары; 7 – выход готовых изделий; 8 – участок ОТК.</w:t>
      </w:r>
    </w:p>
    <w:p w:rsidR="00A64670" w:rsidRDefault="00A64670" w:rsidP="00A64670">
      <w:pPr>
        <w:pStyle w:val="image"/>
      </w:pPr>
      <w:r>
        <w:t xml:space="preserve">Рис. 10.5. Центральная компоновка склада ГПС с </w:t>
      </w:r>
      <w:proofErr w:type="gramStart"/>
      <w:r>
        <w:t>автоматическим</w:t>
      </w:r>
      <w:proofErr w:type="gramEnd"/>
      <w:r>
        <w:t xml:space="preserve"> стеллажным </w:t>
      </w:r>
      <w:proofErr w:type="spellStart"/>
      <w:r>
        <w:t>краном-штабелером</w:t>
      </w:r>
      <w:proofErr w:type="spellEnd"/>
      <w:r>
        <w:t>: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main"/>
      </w:pPr>
      <w:r>
        <w:t>Устройства приема-выдачи грузов на производственные участки могут быть встроены в стеллажи. С этих устройств перегрузочные роботы непосредственно передают заготовки и устанавливают на станки. При такой компоновке транспортную подсистему сводят к этим перегрузочным устройствам и роботам за счет того, что единый многофункциональный склад приближен непосредственно и взаимодействует с производственными участками. Данная компоновка обеспечивает экономию производственных площадей, снижение затрат на операции перемещения грузов в ГПС, повышение производительности труда и надежности всей транспортно-складской системы ГПС.</w:t>
      </w:r>
    </w:p>
    <w:p w:rsidR="00A64670" w:rsidRDefault="00A64670" w:rsidP="00A64670">
      <w:pPr>
        <w:pStyle w:val="main"/>
      </w:pPr>
      <w:r>
        <w:t xml:space="preserve">Однако при создании ГПС в условиях существующего цеха центральная компоновка ГПС не всегда может быть осуществлена. Поэтому применяют также линейные компоновки складов по отношению к производственным участкам (рис.10.6, 10.7), где стеллажные склады располагают в конце линии станков. При этом склады могут быть расположены с одного или с обоих торцов производственного участка (в зависимости от размеров ГПС, грузопотоков, запасов хранения грузов и других факторов), а внутрисистемные перемещения заготовок, инструмента и готовых изделий могут быть проведены теми же автоматическими </w:t>
      </w:r>
      <w:proofErr w:type="spellStart"/>
      <w:r>
        <w:t>кранами-штабелерами</w:t>
      </w:r>
      <w:proofErr w:type="spellEnd"/>
      <w:r>
        <w:t xml:space="preserve">, обслуживающими и стеллажные склады (рис.10.6), или специальной транспортной подсистемой, в которой применяют конвейеры, напольные и подвесные </w:t>
      </w:r>
      <w:proofErr w:type="gramStart"/>
      <w:r>
        <w:t>ТР</w:t>
      </w:r>
      <w:proofErr w:type="gramEnd"/>
      <w:r>
        <w:t xml:space="preserve"> (рис.10.6). Последнее из этих решений используют при больших грузопотоках и необходимости большой производительности транспортной подсистемы ГПС.</w:t>
      </w:r>
    </w:p>
    <w:p w:rsidR="00A64670" w:rsidRDefault="00A64670" w:rsidP="00A64670">
      <w:pPr>
        <w:pStyle w:val="image"/>
      </w:pPr>
      <w:r>
        <w:rPr>
          <w:noProof/>
        </w:rPr>
        <w:lastRenderedPageBreak/>
        <w:drawing>
          <wp:inline distT="0" distB="0" distL="0" distR="0">
            <wp:extent cx="3962400" cy="2343150"/>
            <wp:effectExtent l="19050" t="0" r="0" b="0"/>
            <wp:docPr id="6" name="Рисунок 6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image"/>
      </w:pPr>
      <w:r>
        <w:t xml:space="preserve">Рис. 10.6. Линейные компоновки складов ГПС с автоматическими стеллажными (а) и мостовыми (б) </w:t>
      </w:r>
      <w:proofErr w:type="spellStart"/>
      <w:r>
        <w:t>кранами-штабелерами</w:t>
      </w:r>
      <w:proofErr w:type="spellEnd"/>
      <w:r>
        <w:t>, выполняющими складские и транспортные функции; 1…8 – см. рис. 10.5.</w:t>
      </w:r>
    </w:p>
    <w:p w:rsidR="00A64670" w:rsidRDefault="00A64670" w:rsidP="00A64670">
      <w:pPr>
        <w:pStyle w:val="image"/>
      </w:pPr>
      <w:r>
        <w:rPr>
          <w:noProof/>
        </w:rPr>
        <w:drawing>
          <wp:inline distT="0" distB="0" distL="0" distR="0">
            <wp:extent cx="3514725" cy="1152525"/>
            <wp:effectExtent l="0" t="0" r="0" b="0"/>
            <wp:docPr id="7" name="Рисунок 7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image"/>
      </w:pPr>
      <w:r>
        <w:rPr>
          <w:noProof/>
        </w:rPr>
        <w:drawing>
          <wp:inline distT="0" distB="0" distL="0" distR="0">
            <wp:extent cx="3438525" cy="1562100"/>
            <wp:effectExtent l="0" t="0" r="9525" b="0"/>
            <wp:docPr id="8" name="Рисунок 8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image"/>
      </w:pPr>
      <w:r>
        <w:t xml:space="preserve">Рис. 10.7. Линейные компоновки складов ГПС с автоматическими стеллажными (а) и мостовыми (б) </w:t>
      </w:r>
      <w:proofErr w:type="spellStart"/>
      <w:r>
        <w:t>кранами-штабелерами</w:t>
      </w:r>
      <w:proofErr w:type="spellEnd"/>
      <w:r>
        <w:t xml:space="preserve"> и дополнительной транспортной системой 9; 1…8 – см. рис. 10.5.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main"/>
      </w:pPr>
      <w:r>
        <w:t xml:space="preserve">Стеллажные автоматические </w:t>
      </w:r>
      <w:proofErr w:type="spellStart"/>
      <w:r>
        <w:t>краны-штабелеры</w:t>
      </w:r>
      <w:proofErr w:type="spellEnd"/>
      <w:r>
        <w:t xml:space="preserve"> применяют для обслуживания складов при больших грузопотоках и незначительных запасах хранения, а мостовые </w:t>
      </w:r>
      <w:proofErr w:type="spellStart"/>
      <w:r>
        <w:t>краны-штабелеры</w:t>
      </w:r>
      <w:proofErr w:type="spellEnd"/>
      <w:r>
        <w:t xml:space="preserve"> - при больших запасах хранения, сравнительно небольших грузопотоках и больших размерах самих заготовок и готовых изделий.</w:t>
      </w:r>
    </w:p>
    <w:p w:rsidR="00A64670" w:rsidRDefault="00A64670" w:rsidP="00A64670">
      <w:pPr>
        <w:pStyle w:val="main"/>
      </w:pPr>
      <w:r>
        <w:t>Для более крупных ГПС, например ГАЦ, в ряде случаев целесообразно применение поперечной компоновки автоматического стеллажного склада (рис.10.8). Преимущество такой компоновки - приближение к квадратной конфигурации ГПС в плане (вместо вытянутой в направлении линии станков).</w:t>
      </w:r>
    </w:p>
    <w:p w:rsidR="00A64670" w:rsidRDefault="00A64670" w:rsidP="00A64670">
      <w:pPr>
        <w:pStyle w:val="image"/>
      </w:pPr>
      <w:r>
        <w:rPr>
          <w:noProof/>
        </w:rPr>
        <w:lastRenderedPageBreak/>
        <w:drawing>
          <wp:inline distT="0" distB="0" distL="0" distR="0">
            <wp:extent cx="4162425" cy="1905000"/>
            <wp:effectExtent l="0" t="0" r="0" b="0"/>
            <wp:docPr id="9" name="Рисунок 9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image"/>
      </w:pPr>
      <w:r>
        <w:t>Рис. 10.8. Поперечная компоновка автоматического стеллажного склада ГПС по отношению к производственной системе с транспортной системой 9;</w:t>
      </w:r>
    </w:p>
    <w:p w:rsidR="00A64670" w:rsidRDefault="00A64670" w:rsidP="00A64670">
      <w:pPr>
        <w:pStyle w:val="a4"/>
        <w:jc w:val="center"/>
      </w:pPr>
      <w:r>
        <w:t>1…8 – см. рис. 10.5.</w:t>
      </w:r>
    </w:p>
    <w:p w:rsidR="00A64670" w:rsidRDefault="00A64670" w:rsidP="00A64670">
      <w:pPr>
        <w:pStyle w:val="main"/>
      </w:pPr>
      <w:r>
        <w:t>Автоматические склады с гравитационными стеллажами, компоновка которых показана на рис. 10.9, рекомендуется применять при ограниченной номенклатуре заготовок и изделий. Их преимущества состоят в направленности грузопотока в стеллажах, хорошем использовании производственных площадей.</w:t>
      </w:r>
    </w:p>
    <w:p w:rsidR="00A64670" w:rsidRDefault="00A64670" w:rsidP="00A64670">
      <w:pPr>
        <w:pStyle w:val="image"/>
      </w:pPr>
      <w:r>
        <w:rPr>
          <w:noProof/>
        </w:rPr>
        <w:drawing>
          <wp:inline distT="0" distB="0" distL="0" distR="0">
            <wp:extent cx="4029075" cy="1619250"/>
            <wp:effectExtent l="19050" t="0" r="9525" b="0"/>
            <wp:docPr id="10" name="Рисунок 10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image"/>
      </w:pPr>
      <w:r>
        <w:t>Рис. 10.9. Боковая компоновка автоматического склада (стеллажного) по отношению к производственным участкам транспортной системой 9;</w:t>
      </w:r>
    </w:p>
    <w:p w:rsidR="00A64670" w:rsidRDefault="00A64670" w:rsidP="00A64670">
      <w:pPr>
        <w:pStyle w:val="a4"/>
        <w:jc w:val="center"/>
      </w:pPr>
      <w:r>
        <w:t>1…8 – см. рис. 10.5.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main"/>
      </w:pPr>
      <w:r>
        <w:t xml:space="preserve">Подвесные автоматические склады (рис. 10.10) используют в ГПС в тех случаях, когда в качестве внутрицехового или внутрисистемного транспорта ГПС служит подвесной толкающий конвейер с </w:t>
      </w:r>
      <w:proofErr w:type="gramStart"/>
      <w:r>
        <w:t>автоматическим</w:t>
      </w:r>
      <w:proofErr w:type="gramEnd"/>
      <w:r>
        <w:t xml:space="preserve"> </w:t>
      </w:r>
      <w:proofErr w:type="spellStart"/>
      <w:r>
        <w:t>адресованием</w:t>
      </w:r>
      <w:proofErr w:type="spellEnd"/>
      <w:r>
        <w:t xml:space="preserve"> грузов, что целесообразно при массовом и крупносерийном производствах и очень большой производительности производственных комплексов.</w:t>
      </w:r>
    </w:p>
    <w:p w:rsidR="00A64670" w:rsidRDefault="00A64670" w:rsidP="00A64670">
      <w:pPr>
        <w:pStyle w:val="main"/>
      </w:pPr>
      <w:r>
        <w:t>При проектировании складов ГПС наиболее рациональный вариант компоновки выбирают в результате сравнения нескольких конкурентоспособных вариантов по технико-экономическим показателям, прежде всего по приведенным затратам.</w:t>
      </w:r>
    </w:p>
    <w:p w:rsidR="00A64670" w:rsidRDefault="00A64670" w:rsidP="00A64670">
      <w:pPr>
        <w:pStyle w:val="main"/>
      </w:pPr>
      <w:r>
        <w:t>Из рассмотренных компоновочных решений по складам ГПС можно сделать вывод, что вариант технического оснащения, размеры, число складов и их расположение существенно влияют на общую компоновку ГПС и на его эффективность.</w:t>
      </w:r>
    </w:p>
    <w:p w:rsidR="00A64670" w:rsidRDefault="00A64670" w:rsidP="00A64670">
      <w:pPr>
        <w:pStyle w:val="image"/>
      </w:pPr>
      <w:r>
        <w:rPr>
          <w:noProof/>
        </w:rPr>
        <w:lastRenderedPageBreak/>
        <w:drawing>
          <wp:inline distT="0" distB="0" distL="0" distR="0">
            <wp:extent cx="3505200" cy="2581275"/>
            <wp:effectExtent l="0" t="0" r="0" b="0"/>
            <wp:docPr id="11" name="Рисунок 11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70" w:rsidRDefault="00A64670" w:rsidP="00A64670">
      <w:pPr>
        <w:pStyle w:val="image"/>
      </w:pPr>
      <w:r>
        <w:t>Рис. 10.10. Компоновка автоматического подвесного склада в сочетании с подвесным толкающим конвейером 9, осуществляющим внутрисистемные перемещения грузов.</w:t>
      </w:r>
    </w:p>
    <w:p w:rsidR="00A64670" w:rsidRDefault="00A64670" w:rsidP="00A64670">
      <w:pPr>
        <w:pStyle w:val="a4"/>
        <w:jc w:val="center"/>
      </w:pPr>
      <w:r>
        <w:t>1…3, 5…8 – см. рис. 10.5.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main"/>
      </w:pPr>
      <w:r>
        <w:t>Помимо выбора оборудования АТССЗ при проектировании ГПС должна быть решена задача определения объема склада и числа транспортных средств.</w:t>
      </w:r>
    </w:p>
    <w:p w:rsidR="00A64670" w:rsidRDefault="00A64670" w:rsidP="00A64670">
      <w:pPr>
        <w:pStyle w:val="main"/>
      </w:pPr>
      <w:r>
        <w:t xml:space="preserve">Количество транспортных средств каждого типа находится, исходя из </w:t>
      </w:r>
      <w:proofErr w:type="spellStart"/>
      <w:r>
        <w:t>машиноемкости</w:t>
      </w:r>
      <w:proofErr w:type="spellEnd"/>
      <w:r>
        <w:t xml:space="preserve"> транспортных операций.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caption4"/>
      </w:pPr>
      <w:r>
        <w:t>Контрольные задания</w:t>
      </w:r>
    </w:p>
    <w:p w:rsidR="00A64670" w:rsidRDefault="00A64670" w:rsidP="00A64670">
      <w:pPr>
        <w:pStyle w:val="a3"/>
      </w:pPr>
      <w:r>
        <w:t> </w:t>
      </w:r>
    </w:p>
    <w:p w:rsidR="00A64670" w:rsidRDefault="00A64670" w:rsidP="00A64670">
      <w:pPr>
        <w:pStyle w:val="caption4"/>
      </w:pPr>
      <w:r>
        <w:t>Задание 10.1.</w:t>
      </w:r>
    </w:p>
    <w:p w:rsidR="00A64670" w:rsidRDefault="00A64670" w:rsidP="00A64670">
      <w:pPr>
        <w:pStyle w:val="main"/>
        <w:rPr>
          <w:lang w:val="kk-KZ"/>
        </w:rPr>
      </w:pPr>
      <w:r>
        <w:t>Как подразделяются компоновки складов с учетом транспортных подсистем?</w:t>
      </w:r>
    </w:p>
    <w:p w:rsidR="00A64670" w:rsidRDefault="00A64670" w:rsidP="00A64670">
      <w:pPr>
        <w:pStyle w:val="main"/>
        <w:rPr>
          <w:lang w:val="kk-KZ"/>
        </w:rPr>
      </w:pPr>
    </w:p>
    <w:p w:rsidR="00681DC2" w:rsidRPr="00A64670" w:rsidRDefault="00681DC2">
      <w:pPr>
        <w:rPr>
          <w:lang w:val="kk-KZ"/>
        </w:rPr>
      </w:pPr>
    </w:p>
    <w:sectPr w:rsidR="00681DC2" w:rsidRPr="00A64670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0A5"/>
    <w:multiLevelType w:val="multilevel"/>
    <w:tmpl w:val="BF4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670"/>
    <w:rsid w:val="00681DC2"/>
    <w:rsid w:val="00A6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4670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A64670"/>
    <w:pPr>
      <w:spacing w:after="0" w:line="240" w:lineRule="auto"/>
      <w:ind w:firstLine="400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caption4">
    <w:name w:val="caption4"/>
    <w:basedOn w:val="a"/>
    <w:rsid w:val="00A64670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2">
    <w:name w:val="list2"/>
    <w:basedOn w:val="a"/>
    <w:rsid w:val="00A64670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main">
    <w:name w:val="main"/>
    <w:basedOn w:val="a"/>
    <w:rsid w:val="00A64670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image">
    <w:name w:val="image"/>
    <w:basedOn w:val="a"/>
    <w:rsid w:val="00A64670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discription">
    <w:name w:val="image_discription"/>
    <w:basedOn w:val="a"/>
    <w:rsid w:val="00A64670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екст"/>
    <w:basedOn w:val="a"/>
    <w:rsid w:val="00A64670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2013-01-23T05:36:00Z</dcterms:created>
  <dcterms:modified xsi:type="dcterms:W3CDTF">2013-01-23T05:36:00Z</dcterms:modified>
</cp:coreProperties>
</file>